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F6F" w:rsidRPr="00B71621" w:rsidRDefault="003F42BC" w:rsidP="005D7F6F">
      <w:pPr>
        <w:pStyle w:val="Corpotesto"/>
        <w:spacing w:line="240" w:lineRule="auto"/>
        <w:jc w:val="center"/>
        <w:rPr>
          <w:rFonts w:ascii="Baskerville Old Face" w:hAnsi="Baskerville Old Face"/>
          <w:b/>
          <w:bCs/>
          <w:color w:val="808080"/>
          <w:spacing w:val="1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askerville Old Face" w:hAnsi="Baskerville Old Face"/>
          <w:b/>
          <w:bCs/>
          <w:color w:val="808080"/>
          <w:spacing w:val="1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-27pt;width:67.1pt;height:79.2pt;z-index:251658240;visibility:visible;mso-wrap-edited:f">
            <v:imagedata r:id="rId7" o:title="" grayscale="t"/>
          </v:shape>
          <o:OLEObject Type="Embed" ProgID="Word.Picture.8" ShapeID="_x0000_s1026" DrawAspect="Content" ObjectID="_1618055383" r:id="rId8"/>
        </w:object>
      </w:r>
      <w:r w:rsidR="005D7F6F" w:rsidRPr="00B71621">
        <w:rPr>
          <w:rFonts w:ascii="Baskerville Old Face" w:hAnsi="Baskerville Old Face"/>
          <w:b/>
          <w:bCs/>
          <w:color w:val="808080"/>
          <w:spacing w:val="1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COMUNE DI CASAZZA</w:t>
      </w:r>
    </w:p>
    <w:p w:rsidR="005D7F6F" w:rsidRPr="00B71621" w:rsidRDefault="005D7F6F" w:rsidP="005D7F6F">
      <w:pPr>
        <w:pStyle w:val="Corpotesto"/>
        <w:spacing w:line="240" w:lineRule="atLeast"/>
        <w:jc w:val="center"/>
        <w:rPr>
          <w:rFonts w:ascii="Baskerville Old Face" w:hAnsi="Baskerville Old Face"/>
          <w:b/>
          <w:bCs/>
          <w:color w:val="8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1621">
        <w:rPr>
          <w:rFonts w:ascii="Baskerville Old Face" w:hAnsi="Baskerville Old Face"/>
          <w:b/>
          <w:bCs/>
          <w:color w:val="808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PROVINCIA DI BERGAMO</w:t>
      </w:r>
    </w:p>
    <w:p w:rsidR="005D7F6F" w:rsidRDefault="005D7F6F" w:rsidP="005D7F6F">
      <w:pPr>
        <w:pStyle w:val="Corpotesto"/>
        <w:spacing w:line="240" w:lineRule="atLeast"/>
        <w:jc w:val="center"/>
        <w:rPr>
          <w:rFonts w:ascii="Baskerville Old Face" w:hAnsi="Baskerville Old Face"/>
          <w:color w:val="808080"/>
          <w:sz w:val="14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1621">
        <w:rPr>
          <w:rFonts w:ascii="Baskerville Old Face" w:hAnsi="Baskerville Old Face"/>
          <w:color w:val="808080"/>
          <w:sz w:val="14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SEDE:</w:t>
      </w:r>
      <w:r w:rsidRPr="00B71621">
        <w:rPr>
          <w:rFonts w:ascii="Baskerville Old Face" w:hAnsi="Baskerville Old Face"/>
          <w:color w:val="808080"/>
          <w:sz w:val="14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71621">
        <w:rPr>
          <w:rFonts w:ascii="Baskerville Old Face" w:hAnsi="Baskerville Old Face"/>
          <w:color w:val="808080"/>
          <w:sz w:val="14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PIAZZA DELLA PIEVE, 2 – TEL. 035 816060 – C.A.P. 24060 – P. IVA 00329540165 – COD. FISC. 80016780167</w:t>
      </w:r>
    </w:p>
    <w:p w:rsidR="005D7F6F" w:rsidRDefault="005D7F6F" w:rsidP="005D7F6F">
      <w:pPr>
        <w:pStyle w:val="Corpotesto"/>
        <w:spacing w:line="240" w:lineRule="atLeast"/>
        <w:jc w:val="center"/>
        <w:rPr>
          <w:rFonts w:ascii="Garamond" w:hAnsi="Garamond"/>
        </w:rPr>
      </w:pPr>
    </w:p>
    <w:p w:rsidR="005D7F6F" w:rsidRDefault="005D7F6F" w:rsidP="005D7F6F">
      <w:pPr>
        <w:pStyle w:val="Corpotesto"/>
        <w:spacing w:line="240" w:lineRule="atLeast"/>
        <w:jc w:val="center"/>
        <w:rPr>
          <w:b/>
          <w:sz w:val="32"/>
          <w:szCs w:val="32"/>
        </w:rPr>
      </w:pPr>
    </w:p>
    <w:p w:rsidR="00C27B23" w:rsidRDefault="005D7F6F" w:rsidP="005D7F6F">
      <w:pPr>
        <w:pStyle w:val="Corpotesto"/>
        <w:spacing w:line="240" w:lineRule="atLeast"/>
        <w:jc w:val="center"/>
        <w:rPr>
          <w:b/>
          <w:sz w:val="32"/>
          <w:szCs w:val="32"/>
        </w:rPr>
      </w:pPr>
      <w:r w:rsidRPr="00BB776C">
        <w:rPr>
          <w:b/>
          <w:sz w:val="32"/>
          <w:szCs w:val="32"/>
        </w:rPr>
        <w:t>Scheda di sintesi sulla rilevazione de</w:t>
      </w:r>
      <w:r>
        <w:rPr>
          <w:b/>
          <w:sz w:val="32"/>
          <w:szCs w:val="32"/>
        </w:rPr>
        <w:t>ll’</w:t>
      </w:r>
      <w:r w:rsidRPr="00BB776C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>.</w:t>
      </w:r>
      <w:r w:rsidRPr="00BB776C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>.</w:t>
      </w:r>
      <w:r w:rsidRPr="00BB776C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>.</w:t>
      </w:r>
    </w:p>
    <w:p w:rsidR="005D7F6F" w:rsidRDefault="005D7F6F" w:rsidP="005D7F6F">
      <w:pPr>
        <w:pStyle w:val="Corpotesto"/>
        <w:spacing w:line="240" w:lineRule="atLeast"/>
        <w:jc w:val="center"/>
        <w:rPr>
          <w:b/>
          <w:sz w:val="32"/>
          <w:szCs w:val="32"/>
        </w:rPr>
      </w:pPr>
    </w:p>
    <w:p w:rsidR="005D7F6F" w:rsidRPr="002C397D" w:rsidRDefault="005D7F6F" w:rsidP="005D7F6F">
      <w:pPr>
        <w:pStyle w:val="Paragrafoelenco"/>
        <w:spacing w:before="120" w:after="0" w:line="360" w:lineRule="auto"/>
        <w:ind w:left="0" w:firstLine="0"/>
        <w:rPr>
          <w:rFonts w:ascii="Garamond" w:hAnsi="Garamond" w:cs="Times New Roman"/>
          <w:b/>
        </w:rPr>
      </w:pPr>
      <w:r w:rsidRPr="002C397D">
        <w:rPr>
          <w:rFonts w:ascii="Garamond" w:hAnsi="Garamond" w:cs="Times New Roman"/>
          <w:b/>
        </w:rPr>
        <w:t>Data di svolgimento della rilevazione</w:t>
      </w:r>
    </w:p>
    <w:p w:rsidR="005D7F6F" w:rsidRPr="002C397D" w:rsidRDefault="005D7F6F" w:rsidP="005D7F6F">
      <w:pPr>
        <w:pStyle w:val="Paragrafoelenco"/>
        <w:spacing w:before="120" w:after="0" w:line="360" w:lineRule="auto"/>
        <w:ind w:left="0" w:firstLine="0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 xml:space="preserve">La rilevazione è stata effettuata tra il </w:t>
      </w:r>
      <w:r>
        <w:rPr>
          <w:rFonts w:ascii="Garamond" w:hAnsi="Garamond" w:cs="Times New Roman"/>
        </w:rPr>
        <w:t>18</w:t>
      </w:r>
      <w:r w:rsidRPr="002C397D">
        <w:rPr>
          <w:rFonts w:ascii="Garamond" w:hAnsi="Garamond" w:cs="Times New Roman"/>
        </w:rPr>
        <w:t xml:space="preserve"> e il 2</w:t>
      </w:r>
      <w:r>
        <w:rPr>
          <w:rFonts w:ascii="Garamond" w:hAnsi="Garamond" w:cs="Times New Roman"/>
        </w:rPr>
        <w:t>7</w:t>
      </w:r>
      <w:r w:rsidRPr="002C397D">
        <w:rPr>
          <w:rFonts w:ascii="Garamond" w:hAnsi="Garamond" w:cs="Times New Roman"/>
        </w:rPr>
        <w:t xml:space="preserve"> marzo 201</w:t>
      </w:r>
      <w:r>
        <w:rPr>
          <w:rFonts w:ascii="Garamond" w:hAnsi="Garamond" w:cs="Times New Roman"/>
        </w:rPr>
        <w:t>9</w:t>
      </w:r>
      <w:r w:rsidRPr="002C397D">
        <w:rPr>
          <w:rFonts w:ascii="Garamond" w:hAnsi="Garamond" w:cs="Times New Roman"/>
        </w:rPr>
        <w:t>.</w:t>
      </w:r>
    </w:p>
    <w:p w:rsidR="005D7F6F" w:rsidRPr="002C397D" w:rsidRDefault="005D7F6F" w:rsidP="005D7F6F">
      <w:pPr>
        <w:pStyle w:val="Paragrafoelenco"/>
        <w:spacing w:line="276" w:lineRule="auto"/>
        <w:ind w:left="0" w:firstLine="0"/>
        <w:rPr>
          <w:rFonts w:ascii="Garamond" w:hAnsi="Garamond"/>
        </w:rPr>
      </w:pPr>
    </w:p>
    <w:p w:rsidR="005D7F6F" w:rsidRPr="002C397D" w:rsidRDefault="005D7F6F" w:rsidP="005D7F6F">
      <w:pPr>
        <w:pStyle w:val="Paragrafoelenco"/>
        <w:spacing w:before="120" w:after="0" w:line="360" w:lineRule="auto"/>
        <w:ind w:left="0" w:firstLine="0"/>
        <w:rPr>
          <w:rFonts w:ascii="Garamond" w:hAnsi="Garamond" w:cs="Times New Roman"/>
          <w:b/>
        </w:rPr>
      </w:pPr>
      <w:r w:rsidRPr="002C397D">
        <w:rPr>
          <w:rFonts w:ascii="Garamond" w:hAnsi="Garamond" w:cs="Times New Roman"/>
          <w:b/>
        </w:rPr>
        <w:t xml:space="preserve">Procedure e modalità seguite per la rilevazione </w:t>
      </w:r>
    </w:p>
    <w:p w:rsidR="005D7F6F" w:rsidRPr="002C397D" w:rsidRDefault="005D7F6F" w:rsidP="005D7F6F">
      <w:pPr>
        <w:pStyle w:val="Paragrafoelenco"/>
        <w:spacing w:before="120" w:after="0" w:line="360" w:lineRule="auto"/>
        <w:ind w:left="0" w:firstLine="0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>La rilevazione è stata effettuata attraverso le seguenti fasi:</w:t>
      </w:r>
    </w:p>
    <w:p w:rsidR="005D7F6F" w:rsidRPr="002C397D" w:rsidRDefault="005D7F6F" w:rsidP="005D7F6F">
      <w:pPr>
        <w:pStyle w:val="Default"/>
        <w:numPr>
          <w:ilvl w:val="0"/>
          <w:numId w:val="5"/>
        </w:numPr>
        <w:tabs>
          <w:tab w:val="left" w:pos="0"/>
        </w:tabs>
        <w:spacing w:before="120" w:line="360" w:lineRule="auto"/>
        <w:ind w:left="567" w:hanging="567"/>
        <w:jc w:val="both"/>
        <w:rPr>
          <w:rFonts w:ascii="Garamond" w:hAnsi="Garamond"/>
          <w:color w:val="auto"/>
        </w:rPr>
      </w:pPr>
      <w:r w:rsidRPr="002C397D">
        <w:rPr>
          <w:rFonts w:ascii="Garamond" w:hAnsi="Garamond"/>
          <w:color w:val="auto"/>
        </w:rPr>
        <w:t>trasferimento delle informazioni da parte dell’Ente e raccolta delle informazioni sulla Griglia di rilevazione, ai sensi della Delibera ANAC n. 141/201</w:t>
      </w:r>
      <w:r>
        <w:rPr>
          <w:rFonts w:ascii="Garamond" w:hAnsi="Garamond"/>
          <w:color w:val="auto"/>
        </w:rPr>
        <w:t>9</w:t>
      </w:r>
      <w:r w:rsidRPr="002C397D">
        <w:rPr>
          <w:rFonts w:ascii="Garamond" w:hAnsi="Garamond"/>
          <w:color w:val="auto"/>
        </w:rPr>
        <w:t>;</w:t>
      </w:r>
    </w:p>
    <w:p w:rsidR="005D7F6F" w:rsidRPr="002C397D" w:rsidRDefault="005D7F6F" w:rsidP="005D7F6F">
      <w:pPr>
        <w:pStyle w:val="Default"/>
        <w:numPr>
          <w:ilvl w:val="0"/>
          <w:numId w:val="5"/>
        </w:numPr>
        <w:tabs>
          <w:tab w:val="left" w:pos="0"/>
        </w:tabs>
        <w:spacing w:before="120" w:line="360" w:lineRule="auto"/>
        <w:ind w:left="567" w:hanging="567"/>
        <w:jc w:val="both"/>
        <w:rPr>
          <w:rFonts w:ascii="Garamond" w:hAnsi="Garamond"/>
          <w:color w:val="auto"/>
        </w:rPr>
      </w:pPr>
      <w:r w:rsidRPr="002C397D">
        <w:rPr>
          <w:rFonts w:ascii="Garamond" w:hAnsi="Garamond"/>
          <w:color w:val="auto"/>
        </w:rPr>
        <w:t>istruttoria da parte dell’O.I.V.: esame della documentazione trasmessa dall’Ente e delle banche dati relative ai dati oggetto di attestazione; successiva verifica direttamente sul sito istituzionale dell’Ente, attraverso l’utilizzo di supporti informatici</w:t>
      </w:r>
    </w:p>
    <w:p w:rsidR="005D7F6F" w:rsidRPr="002C397D" w:rsidRDefault="005D7F6F" w:rsidP="005D7F6F">
      <w:pPr>
        <w:spacing w:before="120" w:after="0" w:line="360" w:lineRule="auto"/>
        <w:rPr>
          <w:rFonts w:ascii="Garamond" w:hAnsi="Garamond" w:cs="Times New Roman"/>
          <w:u w:val="single"/>
        </w:rPr>
      </w:pPr>
    </w:p>
    <w:p w:rsidR="005D7F6F" w:rsidRPr="002C397D" w:rsidRDefault="005D7F6F" w:rsidP="005D7F6F">
      <w:pPr>
        <w:spacing w:before="120" w:after="0" w:line="360" w:lineRule="auto"/>
        <w:rPr>
          <w:rFonts w:ascii="Garamond" w:hAnsi="Garamond" w:cs="Times New Roman"/>
          <w:b/>
        </w:rPr>
      </w:pPr>
      <w:r w:rsidRPr="002C397D">
        <w:rPr>
          <w:rFonts w:ascii="Garamond" w:hAnsi="Garamond" w:cs="Times New Roman"/>
          <w:b/>
        </w:rPr>
        <w:t>Aspetti critici riscontrati nel corso della rilevazione</w:t>
      </w:r>
    </w:p>
    <w:p w:rsidR="005D7F6F" w:rsidRDefault="005D7F6F" w:rsidP="005D7F6F">
      <w:pPr>
        <w:spacing w:before="120" w:after="0" w:line="360" w:lineRule="auto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 xml:space="preserve">La rilevazione ha evidenziato </w:t>
      </w:r>
      <w:r w:rsidR="0097073E">
        <w:rPr>
          <w:rFonts w:ascii="Garamond" w:hAnsi="Garamond" w:cs="Times New Roman"/>
        </w:rPr>
        <w:t>che la parte relativa alla Performance non è pubblicata sul sito istituzionale. L’Amministrazione riferisce che il procedimento relativo alla valutazione della Performance è stato a</w:t>
      </w:r>
      <w:r w:rsidR="00BE64FF">
        <w:rPr>
          <w:rFonts w:ascii="Garamond" w:hAnsi="Garamond" w:cs="Times New Roman"/>
        </w:rPr>
        <w:t xml:space="preserve">pprovato per la prima volta quest’anno </w:t>
      </w:r>
      <w:r w:rsidR="0097073E">
        <w:rPr>
          <w:rFonts w:ascii="Garamond" w:hAnsi="Garamond" w:cs="Times New Roman"/>
        </w:rPr>
        <w:t>e pertanto è ancora in fase di implementazione.</w:t>
      </w:r>
    </w:p>
    <w:p w:rsidR="003F42BC" w:rsidRPr="002C397D" w:rsidRDefault="003F42BC" w:rsidP="005D7F6F">
      <w:pPr>
        <w:spacing w:before="120" w:after="0" w:line="360" w:lineRule="auto"/>
        <w:rPr>
          <w:rFonts w:ascii="Garamond" w:hAnsi="Garamond" w:cs="Times New Roman"/>
        </w:rPr>
      </w:pPr>
      <w:r>
        <w:rPr>
          <w:rFonts w:ascii="Garamond" w:hAnsi="Garamond" w:cs="Times New Roman"/>
        </w:rPr>
        <w:t>Anche la sezione dedicata alle Informazioni ambientali risulta non compilata: l’Amministrazione si è impegnata a provvedere quanto prima.</w:t>
      </w:r>
      <w:bookmarkStart w:id="0" w:name="_GoBack"/>
      <w:bookmarkEnd w:id="0"/>
    </w:p>
    <w:p w:rsidR="005D7F6F" w:rsidRPr="002C397D" w:rsidRDefault="005D7F6F" w:rsidP="005D7F6F">
      <w:pPr>
        <w:spacing w:line="360" w:lineRule="auto"/>
        <w:rPr>
          <w:rFonts w:ascii="Garamond" w:hAnsi="Garamond" w:cs="Times New Roman"/>
          <w:b/>
          <w:i/>
        </w:rPr>
      </w:pPr>
    </w:p>
    <w:p w:rsidR="005D7F6F" w:rsidRPr="002C397D" w:rsidRDefault="005D7F6F" w:rsidP="005D7F6F">
      <w:pPr>
        <w:spacing w:before="120" w:after="0" w:line="360" w:lineRule="auto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 xml:space="preserve">Casazza, </w:t>
      </w:r>
      <w:r>
        <w:rPr>
          <w:rFonts w:ascii="Garamond" w:hAnsi="Garamond" w:cs="Times New Roman"/>
        </w:rPr>
        <w:t>29</w:t>
      </w:r>
      <w:r w:rsidRPr="002C397D">
        <w:rPr>
          <w:rFonts w:ascii="Garamond" w:hAnsi="Garamond" w:cs="Times New Roman"/>
        </w:rPr>
        <w:t>.03.201</w:t>
      </w:r>
      <w:r>
        <w:rPr>
          <w:rFonts w:ascii="Garamond" w:hAnsi="Garamond" w:cs="Times New Roman"/>
        </w:rPr>
        <w:t>9</w:t>
      </w:r>
    </w:p>
    <w:p w:rsidR="005D7F6F" w:rsidRPr="002C397D" w:rsidRDefault="005D7F6F" w:rsidP="005D7F6F">
      <w:pPr>
        <w:ind w:firstLine="1701"/>
        <w:jc w:val="center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>Firma dell’O.I.V.</w:t>
      </w:r>
    </w:p>
    <w:p w:rsidR="005D7F6F" w:rsidRPr="002C397D" w:rsidRDefault="005D7F6F" w:rsidP="005D7F6F">
      <w:pPr>
        <w:ind w:firstLine="1701"/>
        <w:jc w:val="center"/>
        <w:rPr>
          <w:rFonts w:ascii="Garamond" w:hAnsi="Garamond" w:cs="Times New Roman"/>
        </w:rPr>
      </w:pPr>
      <w:r w:rsidRPr="002C397D">
        <w:rPr>
          <w:rFonts w:ascii="Garamond" w:hAnsi="Garamond" w:cs="Times New Roman"/>
        </w:rPr>
        <w:t>Dott. Luca Giudici</w:t>
      </w:r>
    </w:p>
    <w:p w:rsidR="005D7F6F" w:rsidRPr="009C6FAC" w:rsidRDefault="005D7F6F" w:rsidP="005D7F6F">
      <w:pPr>
        <w:spacing w:line="360" w:lineRule="auto"/>
        <w:rPr>
          <w:rFonts w:ascii="Garamond" w:hAnsi="Garamond"/>
          <w:b/>
          <w:i/>
        </w:rPr>
      </w:pPr>
    </w:p>
    <w:sectPr w:rsidR="005D7F6F" w:rsidRPr="009C6FAC">
      <w:headerReference w:type="default" r:id="rId9"/>
      <w:pgSz w:w="11906" w:h="16838"/>
      <w:pgMar w:top="1417" w:right="1134" w:bottom="708" w:left="1134" w:header="708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06A" w:rsidRDefault="0060106A">
      <w:pPr>
        <w:spacing w:after="0" w:line="240" w:lineRule="auto"/>
      </w:pPr>
      <w:r>
        <w:separator/>
      </w:r>
    </w:p>
  </w:endnote>
  <w:endnote w:type="continuationSeparator" w:id="0">
    <w:p w:rsidR="0060106A" w:rsidRDefault="0060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06A" w:rsidRDefault="0060106A">
      <w:pPr>
        <w:spacing w:after="0" w:line="240" w:lineRule="auto"/>
      </w:pPr>
      <w:r>
        <w:separator/>
      </w:r>
    </w:p>
  </w:footnote>
  <w:footnote w:type="continuationSeparator" w:id="0">
    <w:p w:rsidR="0060106A" w:rsidRDefault="00601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B23" w:rsidRPr="006E496C" w:rsidRDefault="0048249A" w:rsidP="006E496C">
    <w:pPr>
      <w:pStyle w:val="Intestazione"/>
      <w:jc w:val="right"/>
      <w:rPr>
        <w:rFonts w:ascii="Garamond" w:hAnsi="Garamond" w:cs="Times New Roman"/>
        <w:b/>
      </w:rPr>
    </w:pPr>
    <w:r w:rsidRPr="006E496C">
      <w:rPr>
        <w:rFonts w:ascii="Garamond" w:hAnsi="Garamond"/>
        <w:b/>
      </w:rPr>
      <w:t xml:space="preserve">Allegato 3 alla </w:t>
    </w:r>
    <w:r w:rsidRPr="006E496C">
      <w:rPr>
        <w:rFonts w:ascii="Garamond" w:hAnsi="Garamond" w:cs="Times New Roman"/>
        <w:b/>
      </w:rPr>
      <w:t xml:space="preserve">delibera n. </w:t>
    </w:r>
    <w:r w:rsidR="002C572E" w:rsidRPr="006E496C">
      <w:rPr>
        <w:rFonts w:ascii="Garamond" w:hAnsi="Garamond" w:cs="Times New Roman"/>
        <w:b/>
      </w:rPr>
      <w:t>141</w:t>
    </w:r>
    <w:r w:rsidRPr="006E496C">
      <w:rPr>
        <w:rFonts w:ascii="Garamond" w:hAnsi="Garamond" w:cs="Times New Roman"/>
        <w:b/>
      </w:rPr>
      <w:t>/201</w:t>
    </w:r>
    <w:r w:rsidR="00FC7906" w:rsidRPr="006E496C">
      <w:rPr>
        <w:rFonts w:ascii="Garamond" w:hAnsi="Garamond" w:cs="Times New Roman"/>
        <w:b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B02D7"/>
    <w:multiLevelType w:val="multilevel"/>
    <w:tmpl w:val="562438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" w15:restartNumberingAfterBreak="0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7E265EA"/>
    <w:multiLevelType w:val="hybridMultilevel"/>
    <w:tmpl w:val="F97483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B274FF9"/>
    <w:multiLevelType w:val="hybridMultilevel"/>
    <w:tmpl w:val="4CD022FC"/>
    <w:lvl w:ilvl="0" w:tplc="77CA1D2A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23"/>
    <w:rsid w:val="0016468A"/>
    <w:rsid w:val="0024134D"/>
    <w:rsid w:val="0029583B"/>
    <w:rsid w:val="002C572E"/>
    <w:rsid w:val="003E1CF5"/>
    <w:rsid w:val="003F42BC"/>
    <w:rsid w:val="0048249A"/>
    <w:rsid w:val="004F18CD"/>
    <w:rsid w:val="005D7F6F"/>
    <w:rsid w:val="0060106A"/>
    <w:rsid w:val="006E496C"/>
    <w:rsid w:val="007052EA"/>
    <w:rsid w:val="00713BFD"/>
    <w:rsid w:val="007A107C"/>
    <w:rsid w:val="00837860"/>
    <w:rsid w:val="00861FE1"/>
    <w:rsid w:val="008A0378"/>
    <w:rsid w:val="00955140"/>
    <w:rsid w:val="0097073E"/>
    <w:rsid w:val="009A5646"/>
    <w:rsid w:val="009C6FAC"/>
    <w:rsid w:val="00A52DF7"/>
    <w:rsid w:val="00AF790D"/>
    <w:rsid w:val="00BE64FF"/>
    <w:rsid w:val="00C27B23"/>
    <w:rsid w:val="00D27496"/>
    <w:rsid w:val="00FC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071022"/>
  <w15:docId w15:val="{56CB1834-868F-432B-9D79-8EB178F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Pr>
      <w:position w:val="22"/>
      <w:sz w:val="14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TestonotaapidipaginaCarattere1">
    <w:name w:val="Testo nota a piè di pagina Carattere1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itoloCarattere">
    <w:name w:val="Titolo Carattere"/>
    <w:basedOn w:val="Carpredefinitoparagrafo"/>
    <w:rPr>
      <w:rFonts w:ascii="Times New Roman" w:eastAsia="Times New Roman" w:hAnsi="Times New Roman" w:cs="Times New Roman"/>
      <w:b/>
      <w:bCs/>
      <w:i/>
      <w:sz w:val="36"/>
      <w:szCs w:val="32"/>
      <w:lang w:eastAsia="ar-SA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Cambria"/>
      <w:b/>
      <w:bCs/>
      <w:sz w:val="20"/>
      <w:szCs w:val="20"/>
      <w:lang w:eastAsia="ar-SA"/>
    </w:rPr>
  </w:style>
  <w:style w:type="character" w:customStyle="1" w:styleId="TestofumettoCarattere">
    <w:name w:val="Testo fumetto Carattere"/>
    <w:basedOn w:val="Carpredefinitoparagrafo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WWCharLFO13LVL1">
    <w:name w:val="WW_CharLFO13LVL1"/>
    <w:rPr>
      <w:rFonts w:ascii="Times New Roman" w:eastAsia="Times New Roman" w:hAnsi="Times New Roman" w:cs="Times New Roman"/>
    </w:rPr>
  </w:style>
  <w:style w:type="character" w:customStyle="1" w:styleId="WWCharLFO13LVL2">
    <w:name w:val="WW_CharLFO13LVL2"/>
    <w:rPr>
      <w:rFonts w:ascii="Courier New" w:hAnsi="Courier New" w:cs="Courier New"/>
    </w:rPr>
  </w:style>
  <w:style w:type="character" w:customStyle="1" w:styleId="WWCharLFO13LVL3">
    <w:name w:val="WW_CharLFO13LVL3"/>
    <w:rPr>
      <w:rFonts w:ascii="Wingdings" w:hAnsi="Wingdings"/>
    </w:rPr>
  </w:style>
  <w:style w:type="character" w:customStyle="1" w:styleId="WWCharLFO13LVL4">
    <w:name w:val="WW_CharLFO13LVL4"/>
    <w:rPr>
      <w:rFonts w:ascii="Symbol" w:hAnsi="Symbol"/>
    </w:rPr>
  </w:style>
  <w:style w:type="character" w:customStyle="1" w:styleId="WWCharLFO13LVL5">
    <w:name w:val="WW_CharLFO13LVL5"/>
    <w:rPr>
      <w:rFonts w:ascii="Courier New" w:hAnsi="Courier New" w:cs="Courier New"/>
    </w:rPr>
  </w:style>
  <w:style w:type="character" w:customStyle="1" w:styleId="WWCharLFO13LVL6">
    <w:name w:val="WW_CharLFO13LVL6"/>
    <w:rPr>
      <w:rFonts w:ascii="Wingdings" w:hAnsi="Wingdings"/>
    </w:rPr>
  </w:style>
  <w:style w:type="character" w:customStyle="1" w:styleId="WWCharLFO13LVL7">
    <w:name w:val="WW_CharLFO13LVL7"/>
    <w:rPr>
      <w:rFonts w:ascii="Symbol" w:hAnsi="Symbol"/>
    </w:rPr>
  </w:style>
  <w:style w:type="character" w:customStyle="1" w:styleId="WWCharLFO13LVL8">
    <w:name w:val="WW_CharLFO13LVL8"/>
    <w:rPr>
      <w:rFonts w:ascii="Courier New" w:hAnsi="Courier New" w:cs="Courier New"/>
    </w:rPr>
  </w:style>
  <w:style w:type="character" w:customStyle="1" w:styleId="WWCharLFO13LVL9">
    <w:name w:val="WW_CharLFO13LVL9"/>
    <w:rPr>
      <w:rFonts w:ascii="Wingdings" w:hAnsi="Wingdings"/>
    </w:rPr>
  </w:style>
  <w:style w:type="character" w:customStyle="1" w:styleId="WWCharLFO15LVL1">
    <w:name w:val="WW_CharLFO15LVL1"/>
    <w:rPr>
      <w:rFonts w:ascii="Times New Roman" w:eastAsia="Calibri" w:hAnsi="Times New Roman" w:cs="Times New Roman"/>
      <w:sz w:val="20"/>
    </w:rPr>
  </w:style>
  <w:style w:type="character" w:customStyle="1" w:styleId="WWCharLFO15LVL2">
    <w:name w:val="WW_CharLFO15LVL2"/>
    <w:rPr>
      <w:rFonts w:ascii="Courier New" w:hAnsi="Courier New" w:cs="Courier New"/>
    </w:rPr>
  </w:style>
  <w:style w:type="character" w:customStyle="1" w:styleId="WWCharLFO15LVL3">
    <w:name w:val="WW_CharLFO15LVL3"/>
    <w:rPr>
      <w:rFonts w:ascii="Wingdings" w:hAnsi="Wingdings"/>
    </w:rPr>
  </w:style>
  <w:style w:type="character" w:customStyle="1" w:styleId="WWCharLFO15LVL4">
    <w:name w:val="WW_CharLFO15LVL4"/>
    <w:rPr>
      <w:rFonts w:ascii="Symbol" w:hAnsi="Symbol"/>
    </w:rPr>
  </w:style>
  <w:style w:type="character" w:customStyle="1" w:styleId="WWCharLFO15LVL5">
    <w:name w:val="WW_CharLFO15LVL5"/>
    <w:rPr>
      <w:rFonts w:ascii="Courier New" w:hAnsi="Courier New" w:cs="Courier New"/>
    </w:rPr>
  </w:style>
  <w:style w:type="character" w:customStyle="1" w:styleId="WWCharLFO15LVL6">
    <w:name w:val="WW_CharLFO15LVL6"/>
    <w:rPr>
      <w:rFonts w:ascii="Wingdings" w:hAnsi="Wingdings"/>
    </w:rPr>
  </w:style>
  <w:style w:type="character" w:customStyle="1" w:styleId="WWCharLFO15LVL7">
    <w:name w:val="WW_CharLFO15LVL7"/>
    <w:rPr>
      <w:rFonts w:ascii="Symbol" w:hAnsi="Symbol"/>
    </w:rPr>
  </w:style>
  <w:style w:type="character" w:customStyle="1" w:styleId="WWCharLFO15LVL8">
    <w:name w:val="WW_CharLFO15LVL8"/>
    <w:rPr>
      <w:rFonts w:ascii="Courier New" w:hAnsi="Courier New" w:cs="Courier New"/>
    </w:rPr>
  </w:style>
  <w:style w:type="character" w:customStyle="1" w:styleId="WWCharLFO15LVL9">
    <w:name w:val="WW_CharLFO15LVL9"/>
    <w:rPr>
      <w:rFonts w:ascii="Wingdings" w:hAnsi="Wingdings"/>
    </w:rPr>
  </w:style>
  <w:style w:type="character" w:customStyle="1" w:styleId="Caratteredellanota">
    <w:name w:val="Carattere della not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pPr>
      <w:ind w:left="357" w:hanging="357"/>
    </w:pPr>
  </w:style>
  <w:style w:type="paragraph" w:styleId="Titolo">
    <w:name w:val="Title"/>
    <w:basedOn w:val="Normale"/>
    <w:next w:val="Normale"/>
    <w:autoRedefine/>
    <w:pPr>
      <w:numPr>
        <w:numId w:val="1"/>
      </w:numPr>
      <w:spacing w:before="240" w:after="240"/>
      <w:jc w:val="center"/>
      <w:outlineLvl w:val="0"/>
    </w:pPr>
    <w:rPr>
      <w:rFonts w:cs="Times New Roman"/>
      <w:b/>
      <w:bCs/>
      <w:i/>
      <w:sz w:val="36"/>
      <w:szCs w:val="32"/>
    </w:rPr>
  </w:style>
  <w:style w:type="paragraph" w:customStyle="1" w:styleId="Corpodeltesto">
    <w:name w:val="Corpo del testo"/>
    <w:basedOn w:val="Normale"/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paragraph" w:customStyle="1" w:styleId="Default">
    <w:name w:val="Default"/>
    <w:pPr>
      <w:keepNext/>
      <w:pBdr>
        <w:top w:val="nil"/>
        <w:left w:val="nil"/>
        <w:bottom w:val="nil"/>
        <w:right w:val="nil"/>
      </w:pBdr>
      <w:suppressAutoHyphens/>
      <w:autoSpaceDE w:val="0"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5D7F6F"/>
    <w:pPr>
      <w:keepNext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0" w:line="360" w:lineRule="auto"/>
    </w:pPr>
    <w:rPr>
      <w:rFonts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5D7F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i.siciliani</dc:creator>
  <cp:lastModifiedBy>Stefano Mossali</cp:lastModifiedBy>
  <cp:revision>5</cp:revision>
  <cp:lastPrinted>2018-02-28T15:30:00Z</cp:lastPrinted>
  <dcterms:created xsi:type="dcterms:W3CDTF">2019-03-22T14:04:00Z</dcterms:created>
  <dcterms:modified xsi:type="dcterms:W3CDTF">2019-04-29T13:03:00Z</dcterms:modified>
</cp:coreProperties>
</file>